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0B" w:rsidRPr="00861A0B" w:rsidRDefault="00861A0B" w:rsidP="00861A0B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b/>
          <w:sz w:val="48"/>
          <w:szCs w:val="48"/>
          <w:lang w:val="en-US" w:eastAsia="sv-SE"/>
        </w:rPr>
        <w:t>Problems with rule-based economic policies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Short-run costs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2552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Short-run price rigidity and production losses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2552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Short-run wage rigidity and unemployment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2552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Hysteresis and long-run unemployment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2552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 xml:space="preserve">“In the long </w:t>
      </w:r>
      <w:proofErr w:type="gramStart"/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run</w:t>
      </w:r>
      <w:proofErr w:type="gramEnd"/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 xml:space="preserve"> we are all dead”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No fail-safe decision rules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Demand vs. supply shocks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Nominal vs. real shocks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Permanent vs. transitory shocks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Very big shocks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The problem of transition from accommodation to rule-based policy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Cs w:val="20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rPr>
          <w:rFonts w:ascii="Arial" w:eastAsia="Times New Roman" w:hAnsi="Arial" w:cs="Times New Roman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56"/>
          <w:szCs w:val="56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1276" w:hanging="1276"/>
        <w:jc w:val="center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b/>
          <w:sz w:val="48"/>
          <w:szCs w:val="48"/>
          <w:lang w:val="en-US" w:eastAsia="sv-SE"/>
        </w:rPr>
        <w:lastRenderedPageBreak/>
        <w:t>Financial crises and depressions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24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smartTag w:uri="urn:schemas-microsoft-com:office:smarttags" w:element="place">
        <w:r w:rsidRPr="00861A0B">
          <w:rPr>
            <w:rFonts w:ascii="Arial" w:eastAsia="Times New Roman" w:hAnsi="Arial" w:cs="Times New Roman"/>
            <w:sz w:val="48"/>
            <w:szCs w:val="48"/>
            <w:lang w:val="en-US" w:eastAsia="sv-SE"/>
          </w:rPr>
          <w:t>Europe</w:t>
        </w:r>
      </w:smartTag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 xml:space="preserve"> (ERM)</w:t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1992-93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smartTag w:uri="urn:schemas-microsoft-com:office:smarttags" w:element="place">
        <w:smartTag w:uri="urn:schemas-microsoft-com:office:smarttags" w:element="country-region">
          <w:r w:rsidRPr="00861A0B">
            <w:rPr>
              <w:rFonts w:ascii="Arial" w:eastAsia="Times New Roman" w:hAnsi="Arial" w:cs="Times New Roman"/>
              <w:sz w:val="48"/>
              <w:szCs w:val="48"/>
              <w:lang w:val="en-US" w:eastAsia="sv-SE"/>
            </w:rPr>
            <w:t>Mexico</w:t>
          </w:r>
        </w:smartTag>
      </w:smartTag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1994-95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smartTag w:uri="urn:schemas-microsoft-com:office:smarttags" w:element="place">
        <w:r w:rsidRPr="00861A0B">
          <w:rPr>
            <w:rFonts w:ascii="Arial" w:eastAsia="Times New Roman" w:hAnsi="Arial" w:cs="Times New Roman"/>
            <w:sz w:val="48"/>
            <w:szCs w:val="48"/>
            <w:lang w:val="en-US" w:eastAsia="sv-SE"/>
          </w:rPr>
          <w:t>South East Asia</w:t>
        </w:r>
      </w:smartTag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1997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smartTag w:uri="urn:schemas-microsoft-com:office:smarttags" w:element="place">
        <w:smartTag w:uri="urn:schemas-microsoft-com:office:smarttags" w:element="country-region">
          <w:r w:rsidRPr="00861A0B">
            <w:rPr>
              <w:rFonts w:ascii="Arial" w:eastAsia="Times New Roman" w:hAnsi="Arial" w:cs="Times New Roman"/>
              <w:sz w:val="48"/>
              <w:szCs w:val="48"/>
              <w:lang w:val="en-US" w:eastAsia="sv-SE"/>
            </w:rPr>
            <w:t>Russia</w:t>
          </w:r>
        </w:smartTag>
      </w:smartTag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</w: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ab/>
        <w:t>1998</w:t>
      </w: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Brazil</w:t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  <w:t>1999</w:t>
      </w: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Argentina</w:t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proofErr w:type="gramStart"/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2001-02</w:t>
      </w:r>
      <w:proofErr w:type="gramEnd"/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USA (</w:t>
      </w:r>
      <w:proofErr w:type="spellStart"/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Subprime</w:t>
      </w:r>
      <w:proofErr w:type="spellEnd"/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)</w:t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  <w:t>2008</w:t>
      </w: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  <w:proofErr w:type="spellStart"/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>Eurozone</w:t>
      </w:r>
      <w:proofErr w:type="spellEnd"/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</w: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tab/>
        <w:t>2010</w:t>
      </w: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</w:p>
    <w:p w:rsidR="00861A0B" w:rsidRPr="00636B2D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jc w:val="center"/>
        <w:rPr>
          <w:rFonts w:ascii="Arial" w:eastAsia="Times New Roman" w:hAnsi="Arial" w:cs="Times New Roman"/>
          <w:b/>
          <w:sz w:val="48"/>
          <w:szCs w:val="48"/>
          <w:lang w:val="en-US" w:eastAsia="sv-SE"/>
        </w:rPr>
      </w:pPr>
      <w:r w:rsidRPr="00636B2D">
        <w:rPr>
          <w:rFonts w:ascii="Arial" w:eastAsia="Times New Roman" w:hAnsi="Arial" w:cs="Times New Roman"/>
          <w:sz w:val="48"/>
          <w:szCs w:val="48"/>
          <w:lang w:eastAsia="sv-SE"/>
        </w:rPr>
        <w:br w:type="page"/>
      </w:r>
      <w:r w:rsidRPr="00861A0B">
        <w:rPr>
          <w:rFonts w:ascii="Arial" w:eastAsia="Times New Roman" w:hAnsi="Arial" w:cs="Times New Roman"/>
          <w:b/>
          <w:sz w:val="48"/>
          <w:szCs w:val="48"/>
          <w:lang w:val="en-US" w:eastAsia="sv-SE"/>
        </w:rPr>
        <w:lastRenderedPageBreak/>
        <w:t>The boom – bust cycle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ind w:left="1276" w:hanging="1276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Fixed exchange rate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Domestic boom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Rising interest rates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Short-term capital inflow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Turning point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Short-term capital outflow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Large deficits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Depreciation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Debt crisis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Financial crisis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Contractionary policy</w:t>
      </w:r>
    </w:p>
    <w:p w:rsidR="00861A0B" w:rsidRPr="00861A0B" w:rsidRDefault="00861A0B" w:rsidP="00861A0B">
      <w:pPr>
        <w:numPr>
          <w:ilvl w:val="0"/>
          <w:numId w:val="1"/>
        </w:num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48"/>
          <w:lang w:val="en-US" w:eastAsia="sv-SE"/>
        </w:rPr>
        <w:t>Mass unemployment</w:t>
      </w: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tabs>
          <w:tab w:val="left" w:pos="1276"/>
          <w:tab w:val="left" w:pos="2694"/>
          <w:tab w:val="left" w:pos="3402"/>
        </w:tabs>
        <w:spacing w:after="0" w:line="360" w:lineRule="auto"/>
        <w:rPr>
          <w:rFonts w:ascii="Arial" w:eastAsia="Times New Roman" w:hAnsi="Arial" w:cs="Times New Roman"/>
          <w:sz w:val="48"/>
          <w:szCs w:val="48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 w:eastAsia="sv-SE"/>
        </w:rPr>
      </w:pPr>
    </w:p>
    <w:p w:rsidR="00861A0B" w:rsidRDefault="00861A0B" w:rsidP="00861A0B"/>
    <w:p w:rsidR="00861A0B" w:rsidRPr="00861A0B" w:rsidRDefault="00636B2D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56"/>
          <w:szCs w:val="56"/>
          <w:lang w:val="en-US" w:eastAsia="sv-SE"/>
        </w:rPr>
      </w:pPr>
      <w:r>
        <w:rPr>
          <w:rFonts w:ascii="Arial" w:eastAsia="Times New Roman" w:hAnsi="Arial" w:cs="Times New Roman"/>
          <w:b/>
          <w:sz w:val="56"/>
          <w:szCs w:val="56"/>
          <w:lang w:val="en-US" w:eastAsia="sv-SE"/>
        </w:rPr>
        <w:lastRenderedPageBreak/>
        <w:t>Sweden’s</w:t>
      </w:r>
      <w:r w:rsidR="00861A0B" w:rsidRPr="00861A0B">
        <w:rPr>
          <w:rFonts w:ascii="Arial" w:eastAsia="Times New Roman" w:hAnsi="Arial" w:cs="Times New Roman"/>
          <w:b/>
          <w:sz w:val="56"/>
          <w:szCs w:val="56"/>
          <w:lang w:val="en-US" w:eastAsia="sv-SE"/>
        </w:rPr>
        <w:t xml:space="preserve"> road into the crisis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Financial deregulation 82-89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Inflationary expectations</w:t>
      </w:r>
    </w:p>
    <w:p w:rsidR="00861A0B" w:rsidRPr="00861A0B" w:rsidRDefault="00861A0B" w:rsidP="00861A0B">
      <w:pPr>
        <w:spacing w:after="0" w:line="240" w:lineRule="auto"/>
        <w:ind w:left="2608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Negative real interest rate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Private debt accumulation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Rapidly rising asset prices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Construction boom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Domestic overheating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****************************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ind w:left="1304" w:hanging="1304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Real interest rate shock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56"/>
          <w:szCs w:val="20"/>
          <w:lang w:val="en-GB" w:eastAsia="sv-SE"/>
        </w:rPr>
      </w:pPr>
      <w:r w:rsidRPr="00861A0B">
        <w:rPr>
          <w:rFonts w:ascii="Arial" w:eastAsia="Times New Roman" w:hAnsi="Arial" w:cs="Times New Roman"/>
          <w:b/>
          <w:sz w:val="56"/>
          <w:szCs w:val="20"/>
          <w:lang w:val="en-GB" w:eastAsia="sv-SE"/>
        </w:rPr>
        <w:lastRenderedPageBreak/>
        <w:t>The real interest rate shock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b/>
          <w:sz w:val="48"/>
          <w:szCs w:val="20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4248"/>
        <w:gridCol w:w="1230"/>
        <w:gridCol w:w="1106"/>
        <w:gridCol w:w="2896"/>
      </w:tblGrid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Before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After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European nominal</w:t>
            </w: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br/>
              <w:t>interest rate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German unification</w:t>
            </w:r>
          </w:p>
        </w:tc>
      </w:tr>
      <w:tr w:rsidR="00861A0B" w:rsidRPr="00861A0B" w:rsidTr="008D2DD4">
        <w:trPr>
          <w:trHeight w:val="501"/>
        </w:trPr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Depreciation expectations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2</w:t>
            </w: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br/>
              <w:t>_____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4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Cost crisis</w:t>
            </w: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Swedish nominal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interest rate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Tax deduction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-5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_____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-4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Tax reform</w:t>
            </w: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Swedish nominal interest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rate net of tax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 xml:space="preserve">Inflation 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Expectation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-8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_____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-2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_____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Policy shift</w:t>
            </w:r>
          </w:p>
        </w:tc>
      </w:tr>
      <w:tr w:rsidR="00861A0B" w:rsidRPr="00861A0B" w:rsidTr="008D2DD4">
        <w:tc>
          <w:tcPr>
            <w:tcW w:w="4248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Swedish real interest</w:t>
            </w:r>
          </w:p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rate net of tax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  <w:r w:rsidRPr="00861A0B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sv-SE"/>
              </w:rPr>
            </w:pPr>
          </w:p>
        </w:tc>
      </w:tr>
    </w:tbl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b/>
          <w:sz w:val="48"/>
          <w:szCs w:val="20"/>
          <w:lang w:val="en-US" w:eastAsia="sv-SE"/>
        </w:rPr>
        <w:lastRenderedPageBreak/>
        <w:t>Consolidated private sector balance sheet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Times New Roman"/>
          <w:sz w:val="48"/>
          <w:szCs w:val="20"/>
          <w:lang w:val="en-US" w:eastAsia="sv-SE"/>
        </w:rPr>
      </w:pPr>
      <w:r w:rsidRPr="00861A0B">
        <w:rPr>
          <w:rFonts w:ascii="Arial" w:eastAsia="Times New Roman" w:hAnsi="Arial" w:cs="Times New Roman"/>
          <w:sz w:val="48"/>
          <w:szCs w:val="20"/>
          <w:lang w:val="en-US" w:eastAsia="sv-SE"/>
        </w:rPr>
        <w:t>Actual before shock (SEK bill)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Financial assets            6500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Debt                              7000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Real assets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3500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Equity       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3000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assets                 10000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                           10000</w:t>
            </w:r>
          </w:p>
        </w:tc>
      </w:tr>
    </w:tbl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Actual after shock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Financial assets            6500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Debt                              7000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Real assets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2500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Equity       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2000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assets                   9000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                            9000</w:t>
            </w:r>
          </w:p>
        </w:tc>
      </w:tr>
    </w:tbl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Desired after shock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Financial assets            6500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Debt                              6000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Real assets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2500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 xml:space="preserve">Equity                           </w:t>
            </w: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n-GB" w:eastAsia="sv-SE"/>
              </w:rPr>
              <w:t>3000</w:t>
            </w:r>
          </w:p>
        </w:tc>
      </w:tr>
      <w:tr w:rsidR="00861A0B" w:rsidRPr="00861A0B" w:rsidTr="008D2DD4"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assets                   9000</w:t>
            </w:r>
          </w:p>
        </w:tc>
        <w:tc>
          <w:tcPr>
            <w:tcW w:w="4606" w:type="dxa"/>
            <w:shd w:val="clear" w:color="auto" w:fill="auto"/>
          </w:tcPr>
          <w:p w:rsidR="00861A0B" w:rsidRPr="00861A0B" w:rsidRDefault="00861A0B" w:rsidP="00861A0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</w:pPr>
            <w:r w:rsidRPr="00861A0B">
              <w:rPr>
                <w:rFonts w:ascii="Arial" w:eastAsia="Times New Roman" w:hAnsi="Arial" w:cs="Arial"/>
                <w:b/>
                <w:sz w:val="32"/>
                <w:szCs w:val="32"/>
                <w:lang w:val="en-GB" w:eastAsia="sv-SE"/>
              </w:rPr>
              <w:t>Total                             9000</w:t>
            </w:r>
          </w:p>
        </w:tc>
      </w:tr>
    </w:tbl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b/>
          <w:sz w:val="48"/>
          <w:szCs w:val="48"/>
          <w:lang w:val="en-GB" w:eastAsia="sv-SE"/>
        </w:rPr>
        <w:lastRenderedPageBreak/>
        <w:t>FINANCIAL SAVING</w:t>
      </w: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b/>
          <w:sz w:val="48"/>
          <w:szCs w:val="48"/>
          <w:lang w:val="en-GB" w:eastAsia="sv-SE"/>
        </w:rPr>
        <w:t>(SEK Bill)</w:t>
      </w: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b/>
          <w:sz w:val="40"/>
          <w:szCs w:val="40"/>
          <w:lang w:val="en-GB" w:eastAsia="sv-SE"/>
        </w:rPr>
        <w:tab/>
        <w:t xml:space="preserve">       (S – I)</w:t>
      </w:r>
      <w:r w:rsidRPr="00861A0B">
        <w:rPr>
          <w:rFonts w:ascii="Arial" w:eastAsia="Times New Roman" w:hAnsi="Arial" w:cs="Arial"/>
          <w:b/>
          <w:sz w:val="40"/>
          <w:szCs w:val="40"/>
          <w:lang w:val="en-GB" w:eastAsia="sv-SE"/>
        </w:rPr>
        <w:tab/>
        <w:t xml:space="preserve">    (T – G)</w:t>
      </w:r>
      <w:r w:rsidRPr="00861A0B">
        <w:rPr>
          <w:rFonts w:ascii="Arial" w:eastAsia="Times New Roman" w:hAnsi="Arial" w:cs="Arial"/>
          <w:b/>
          <w:sz w:val="40"/>
          <w:szCs w:val="40"/>
          <w:lang w:val="en-GB" w:eastAsia="sv-SE"/>
        </w:rPr>
        <w:tab/>
        <w:t xml:space="preserve">       (X – M)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1990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-96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57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-39</w:t>
      </w:r>
    </w:p>
    <w:p w:rsidR="00861A0B" w:rsidRPr="00861A0B" w:rsidRDefault="00861A0B" w:rsidP="00861A0B">
      <w:pPr>
        <w:tabs>
          <w:tab w:val="right" w:pos="3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1991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-13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-16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-29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1992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61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-112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-51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1993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148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-177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-29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1994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164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-158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6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1995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168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-133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35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1996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82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-42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40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1997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71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-24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47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>1998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45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12</w:t>
      </w:r>
      <w:r w:rsidRPr="00861A0B">
        <w:rPr>
          <w:rFonts w:ascii="Arial" w:eastAsia="Times New Roman" w:hAnsi="Arial" w:cs="Arial"/>
          <w:sz w:val="40"/>
          <w:szCs w:val="40"/>
          <w:lang w:val="en-GB" w:eastAsia="sv-SE"/>
        </w:rPr>
        <w:tab/>
        <w:t>57</w:t>
      </w: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sv-SE"/>
        </w:rPr>
      </w:pPr>
    </w:p>
    <w:p w:rsidR="00861A0B" w:rsidRPr="00861A0B" w:rsidRDefault="00861A0B" w:rsidP="00861A0B">
      <w:pPr>
        <w:tabs>
          <w:tab w:val="right" w:pos="3060"/>
          <w:tab w:val="right" w:pos="5580"/>
          <w:tab w:val="right" w:pos="8460"/>
        </w:tabs>
        <w:spacing w:after="0" w:line="240" w:lineRule="auto"/>
        <w:rPr>
          <w:rFonts w:ascii="Arial" w:eastAsia="Times New Roman" w:hAnsi="Arial" w:cs="Arial"/>
          <w:sz w:val="52"/>
          <w:szCs w:val="52"/>
          <w:lang w:val="en-GB" w:eastAsia="sv-SE"/>
        </w:rPr>
      </w:pPr>
      <w:r w:rsidRPr="00861A0B">
        <w:rPr>
          <w:rFonts w:ascii="Arial" w:eastAsia="Times New Roman" w:hAnsi="Arial" w:cs="Arial"/>
          <w:sz w:val="52"/>
          <w:szCs w:val="52"/>
          <w:lang w:val="en-GB" w:eastAsia="sv-SE"/>
        </w:rPr>
        <w:t>∑</w:t>
      </w:r>
      <w:r w:rsidRPr="00861A0B">
        <w:rPr>
          <w:rFonts w:ascii="Arial" w:eastAsia="Times New Roman" w:hAnsi="Arial" w:cs="Arial"/>
          <w:sz w:val="52"/>
          <w:szCs w:val="52"/>
          <w:lang w:val="en-GB" w:eastAsia="sv-SE"/>
        </w:rPr>
        <w:tab/>
        <w:t>739</w:t>
      </w:r>
      <w:r w:rsidRPr="00861A0B">
        <w:rPr>
          <w:rFonts w:ascii="Arial" w:eastAsia="Times New Roman" w:hAnsi="Arial" w:cs="Arial"/>
          <w:sz w:val="52"/>
          <w:szCs w:val="52"/>
          <w:lang w:val="en-GB" w:eastAsia="sv-SE"/>
        </w:rPr>
        <w:tab/>
        <w:t>-634</w:t>
      </w:r>
      <w:r w:rsidRPr="00861A0B">
        <w:rPr>
          <w:rFonts w:ascii="Arial" w:eastAsia="Times New Roman" w:hAnsi="Arial" w:cs="Arial"/>
          <w:sz w:val="52"/>
          <w:szCs w:val="52"/>
          <w:lang w:val="en-GB" w:eastAsia="sv-SE"/>
        </w:rPr>
        <w:tab/>
        <w:t>105</w:t>
      </w: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b/>
          <w:sz w:val="48"/>
          <w:szCs w:val="48"/>
          <w:lang w:val="en-GB" w:eastAsia="sv-SE"/>
        </w:rPr>
        <w:lastRenderedPageBreak/>
        <w:t>The Swedish depression in the 90’s</w:t>
      </w:r>
    </w:p>
    <w:p w:rsidR="00861A0B" w:rsidRPr="00861A0B" w:rsidRDefault="00861A0B" w:rsidP="00861A0B">
      <w:pPr>
        <w:spacing w:after="0" w:line="240" w:lineRule="auto"/>
        <w:rPr>
          <w:rFonts w:ascii="Arial" w:eastAsia="Times New Roman" w:hAnsi="Arial" w:cs="Arial"/>
          <w:sz w:val="72"/>
          <w:szCs w:val="72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A high price for getting rid of accommodation policy expectations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Origin of depression: Private balance sheet adjustment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Budget deficit: A passive reflection of private debt reduction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A portfolio shift: “Sustainability” no issue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smartTag w:uri="urn:schemas-microsoft-com:office:smarttags" w:element="place">
        <w:smartTag w:uri="urn:schemas-microsoft-com:office:smarttags" w:element="country-region">
          <w:r w:rsidRPr="00861A0B">
            <w:rPr>
              <w:rFonts w:ascii="Arial" w:eastAsia="Times New Roman" w:hAnsi="Arial" w:cs="Arial"/>
              <w:sz w:val="48"/>
              <w:szCs w:val="48"/>
              <w:lang w:val="en-GB" w:eastAsia="sv-SE"/>
            </w:rPr>
            <w:t>Sweden</w:t>
          </w:r>
        </w:smartTag>
      </w:smartTag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 xml:space="preserve"> was not “living beyond its means”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No increase in net foreign indebtedness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Public sector a temporary “parking space” for excess private debt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No major problem for the public sector to take on increased debt</w:t>
      </w: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</w:p>
    <w:p w:rsidR="00861A0B" w:rsidRPr="00861A0B" w:rsidRDefault="00861A0B" w:rsidP="00861A0B">
      <w:pPr>
        <w:spacing w:after="0" w:line="240" w:lineRule="auto"/>
        <w:ind w:right="-648"/>
        <w:rPr>
          <w:rFonts w:ascii="Arial" w:eastAsia="Times New Roman" w:hAnsi="Arial" w:cs="Arial"/>
          <w:sz w:val="48"/>
          <w:szCs w:val="48"/>
          <w:lang w:val="en-GB" w:eastAsia="sv-SE"/>
        </w:rPr>
      </w:pPr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The alternative</w:t>
      </w:r>
      <w:bookmarkStart w:id="0" w:name="_GoBack"/>
      <w:bookmarkEnd w:id="0"/>
      <w:r w:rsidRPr="00861A0B">
        <w:rPr>
          <w:rFonts w:ascii="Arial" w:eastAsia="Times New Roman" w:hAnsi="Arial" w:cs="Arial"/>
          <w:sz w:val="48"/>
          <w:szCs w:val="48"/>
          <w:lang w:val="en-GB" w:eastAsia="sv-SE"/>
        </w:rPr>
        <w:t>s were much worse</w:t>
      </w:r>
    </w:p>
    <w:sectPr w:rsidR="00861A0B" w:rsidRPr="00861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6B2D">
      <w:pPr>
        <w:spacing w:after="0" w:line="240" w:lineRule="auto"/>
      </w:pPr>
      <w:r>
        <w:separator/>
      </w:r>
    </w:p>
  </w:endnote>
  <w:endnote w:type="continuationSeparator" w:id="0">
    <w:p w:rsidR="00000000" w:rsidRDefault="0063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6B2D">
      <w:pPr>
        <w:spacing w:after="0" w:line="240" w:lineRule="auto"/>
      </w:pPr>
      <w:r>
        <w:separator/>
      </w:r>
    </w:p>
  </w:footnote>
  <w:footnote w:type="continuationSeparator" w:id="0">
    <w:p w:rsidR="00000000" w:rsidRDefault="0063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24" w:rsidRDefault="00861A0B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636B2D" w:rsidRPr="00636B2D">
      <w:rPr>
        <w:noProof/>
        <w:lang w:val="sv-SE"/>
      </w:rPr>
      <w:t>8</w:t>
    </w:r>
    <w:r>
      <w:fldChar w:fldCharType="end"/>
    </w:r>
  </w:p>
  <w:p w:rsidR="004E4124" w:rsidRDefault="0063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3D83"/>
    <w:multiLevelType w:val="hybridMultilevel"/>
    <w:tmpl w:val="0A6625E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B"/>
    <w:rsid w:val="00636B2D"/>
    <w:rsid w:val="00861A0B"/>
    <w:rsid w:val="00C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3FB9E4"/>
  <w15:docId w15:val="{03A97B86-3951-4521-B5ED-2532F9D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US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861A0B"/>
    <w:rPr>
      <w:rFonts w:ascii="Arial" w:eastAsia="Times New Roman" w:hAnsi="Arial" w:cs="Times New Roman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Tson Söderström</dc:creator>
  <cp:lastModifiedBy>Hans</cp:lastModifiedBy>
  <cp:revision>2</cp:revision>
  <dcterms:created xsi:type="dcterms:W3CDTF">2014-05-22T10:47:00Z</dcterms:created>
  <dcterms:modified xsi:type="dcterms:W3CDTF">2017-05-14T23:05:00Z</dcterms:modified>
</cp:coreProperties>
</file>